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right="0" w:firstLine="0"/>
        <w:jc w:val="center"/>
        <w:rPr>
          <w:rFonts w:hint="eastAsia"/>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鄂尔多斯市第四人民医院</w:t>
      </w: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pPr>
        <w:numPr>
          <w:ilvl w:val="0"/>
          <w:numId w:val="0"/>
        </w:numPr>
        <w:ind w:left="0" w:right="0" w:firstLine="0"/>
        <w:rPr>
          <w:rFonts w:hint="eastAsia"/>
          <w:b/>
          <w:sz w:val="28"/>
          <w:szCs w:val="28"/>
          <w:lang w:val="en-US" w:eastAsia="zh-CN"/>
        </w:rPr>
      </w:pPr>
    </w:p>
    <w:p>
      <w:pPr>
        <w:numPr>
          <w:ilvl w:val="0"/>
          <w:numId w:val="0"/>
        </w:numPr>
        <w:ind w:left="0" w:right="0" w:firstLine="0"/>
        <w:rPr>
          <w:rFonts w:hint="eastAsia"/>
          <w:b/>
          <w:sz w:val="28"/>
          <w:szCs w:val="28"/>
          <w:lang w:val="en-US" w:eastAsia="zh-CN"/>
        </w:rPr>
      </w:pPr>
      <w:r>
        <w:rPr>
          <w:rFonts w:hint="eastAsia"/>
          <w:lang w:val="en-US" w:eastAsia="zh-CN"/>
        </w:rPr>
        <w:t xml:space="preserve">                          </w:t>
      </w:r>
    </w:p>
    <w:p>
      <w:pPr>
        <w:numPr>
          <w:ilvl w:val="0"/>
          <w:numId w:val="0"/>
        </w:numPr>
        <w:ind w:left="0" w:right="0" w:firstLine="1500"/>
        <w:rPr>
          <w:rFonts w:hint="eastAsia"/>
          <w:b w:val="0"/>
          <w:sz w:val="28"/>
          <w:szCs w:val="28"/>
          <w:lang w:val="en-US" w:eastAsia="zh-CN"/>
        </w:rPr>
      </w:pPr>
    </w:p>
    <w:p>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 xml:space="preserve">   中药饮片</w:t>
      </w: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2022年    月    日</w:t>
      </w:r>
    </w:p>
    <w:p>
      <w:pPr>
        <w:numPr>
          <w:ilvl w:val="0"/>
          <w:numId w:val="0"/>
        </w:numPr>
        <w:ind w:left="0" w:right="0" w:firstLine="0"/>
        <w:rPr>
          <w:rFonts w:hint="eastAsia"/>
          <w:b/>
          <w:sz w:val="28"/>
          <w:szCs w:val="28"/>
          <w:lang w:val="en-US" w:eastAsia="zh-CN"/>
        </w:rPr>
      </w:pPr>
    </w:p>
    <w:p>
      <w:pPr>
        <w:numPr>
          <w:ilvl w:val="0"/>
          <w:numId w:val="0"/>
        </w:numPr>
        <w:ind w:left="0" w:right="0" w:firstLine="200"/>
        <w:rPr>
          <w:rFonts w:hint="eastAsia"/>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val="0"/>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pPr>
        <w:jc w:val="left"/>
        <w:rPr>
          <w:rFonts w:hint="eastAsia" w:ascii="黑体" w:hAnsi="黑体" w:eastAsia="黑体" w:cs="黑体"/>
          <w:bCs/>
          <w:kern w:val="44"/>
          <w:sz w:val="24"/>
          <w:szCs w:val="24"/>
          <w:lang w:val="zh-CN"/>
        </w:rPr>
      </w:pPr>
      <w:r>
        <w:rPr>
          <w:rFonts w:hint="eastAsia" w:ascii="黑体" w:hAnsi="黑体" w:eastAsia="黑体" w:cs="黑体"/>
          <w:bCs/>
          <w:kern w:val="44"/>
          <w:sz w:val="24"/>
          <w:szCs w:val="24"/>
          <w:lang w:val="zh-CN"/>
        </w:rPr>
        <w:t>一.主要商务要求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428"/>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1120" w:firstLineChars="4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中药饮片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预算金额</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1120" w:firstLineChars="4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41327.32元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280" w:firstLineChars="1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交货使用时间</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合同签订后5个工作日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840" w:firstLineChars="3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1960" w:firstLineChars="7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货品等级</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1120" w:firstLineChars="4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选货及以上等级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货品标准</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国标标准，特殊科研项目品种除外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付款方式</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按需批量供货，按月结算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质保期</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所供货物均需在质保期内，近效期或过期无偿更换</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采购清单</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共采购71种中药饮片（包含科研项目用药），每种2千克。详见附件1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7459"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必须保证科研项目所需白豆蔻、荜拨、白苣胜等冷门饮片的供应。</w:t>
            </w:r>
          </w:p>
        </w:tc>
      </w:tr>
    </w:tbl>
    <w:p>
      <w:pPr>
        <w:jc w:val="left"/>
        <w:rPr>
          <w:rFonts w:hint="eastAsia" w:ascii="宋体" w:hAnsi="宋体" w:eastAsia="宋体"/>
          <w:bCs/>
          <w:kern w:val="44"/>
          <w:sz w:val="24"/>
          <w:szCs w:val="24"/>
          <w:lang w:val="en-US" w:eastAsia="zh-CN"/>
        </w:rPr>
      </w:pPr>
    </w:p>
    <w:p>
      <w:pPr>
        <w:jc w:val="left"/>
        <w:rPr>
          <w:rFonts w:hint="eastAsia" w:ascii="黑体" w:hAnsi="黑体" w:eastAsia="黑体" w:cs="黑体"/>
          <w:bCs/>
          <w:kern w:val="44"/>
          <w:sz w:val="24"/>
          <w:szCs w:val="24"/>
          <w:lang w:val="en-US" w:eastAsia="zh-CN"/>
        </w:rPr>
      </w:pPr>
      <w:r>
        <w:rPr>
          <w:rFonts w:hint="eastAsia" w:ascii="黑体" w:hAnsi="黑体" w:eastAsia="黑体" w:cs="黑体"/>
          <w:bCs/>
          <w:kern w:val="44"/>
          <w:sz w:val="24"/>
          <w:szCs w:val="24"/>
          <w:lang w:val="en-US" w:eastAsia="zh-CN"/>
        </w:rPr>
        <w:t>二、项目详细信息</w:t>
      </w:r>
    </w:p>
    <w:tbl>
      <w:tblPr>
        <w:tblStyle w:val="7"/>
        <w:tblpPr w:leftFromText="180" w:rightFromText="180" w:vertAnchor="text" w:horzAnchor="page" w:tblpX="1767" w:tblpY="434"/>
        <w:tblOverlap w:val="never"/>
        <w:tblW w:w="8400" w:type="dxa"/>
        <w:tblInd w:w="0" w:type="dxa"/>
        <w:shd w:val="clear" w:color="auto" w:fill="auto"/>
        <w:tblLayout w:type="fixed"/>
        <w:tblCellMar>
          <w:top w:w="0" w:type="dxa"/>
          <w:left w:w="0" w:type="dxa"/>
          <w:bottom w:w="0" w:type="dxa"/>
          <w:right w:w="0" w:type="dxa"/>
        </w:tblCellMar>
      </w:tblPr>
      <w:tblGrid>
        <w:gridCol w:w="2155"/>
        <w:gridCol w:w="1063"/>
        <w:gridCol w:w="2305"/>
        <w:gridCol w:w="1500"/>
        <w:gridCol w:w="1377"/>
      </w:tblGrid>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药品名称</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单价（元/千克）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数量/千克</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总价（元）</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白芍(麸炒)</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111.5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223</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白术（生）</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254</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白薇</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139.75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279.5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柏子仁</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443.33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886.66</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败酱草（北）</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56.5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法半夏</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256.75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513.5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清半夏</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248.25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496.5</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柴胡（北)</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720</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沉香</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2014</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陈皮</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80.5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赤芍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180.75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361.5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川芎</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149.25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298.5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大腹皮</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55.5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丹参</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84.5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169</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当归</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434</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无</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85.25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170.5</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地骨皮</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672</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生地黄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148.25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296.5</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茯苓</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123.75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247.5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茯神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180.75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361.5</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浮小麦</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50</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制附子</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165.75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331.5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甘草（生）</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80.5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161</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炙甘草</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90.75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181.5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干姜</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74.25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148.5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醋龟甲</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540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1080</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桂枝</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74</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合欢皮</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49.25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98.5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红 花</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513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1026</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花椒</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236.75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473.5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黄连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537.5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1075</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广藿香</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138</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炒苦杏仁</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126.75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253.5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莲子心</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400</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龙骨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282.75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565.5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龙眼肉</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312</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麻黄（蜜）</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80.75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161.5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麦冬</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536</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牡丹皮</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163.5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327</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牡蛎（生）</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32</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木通（川）</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59.5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119</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佩兰</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92.5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醋青皮</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80.5</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人参</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1213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2426</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肉桂</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86.5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173</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桑螵蛸</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1609.75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3219.5</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砂仁</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744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1488</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石菖蒲</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508</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首乌藤</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67.25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134.5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炒酸枣仁</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1211.75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2423.5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酸枣仁（生）</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1205.75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2411.5</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桃仁</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380.5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五味子</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584</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细辛</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461.5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923</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仙鹤草</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59.5</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醋香附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61.5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123</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玄参</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77.75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155.5</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延胡索（醋）</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201.75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403.5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夜交藤</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56.33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112.66</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鱼腥草</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73</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郁金</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288</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远志（蜜）</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522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1044</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制远志</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546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1092</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珍珠母（生）</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38</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盐知母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95.5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191</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栀子（生/焦）</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75.25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150.5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朱砂</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1458.5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2917</w:t>
            </w:r>
          </w:p>
        </w:tc>
      </w:tr>
      <w:tr>
        <w:tblPrEx>
          <w:shd w:val="clear" w:color="auto" w:fill="auto"/>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炒酸枣仁</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1211.75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2423.5</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白豆蔻</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684</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白苣胜</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120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240</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荜拨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包</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176.5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353</w:t>
            </w:r>
          </w:p>
        </w:tc>
      </w:tr>
      <w:tr>
        <w:tblPrEx>
          <w:tblCellMar>
            <w:top w:w="0" w:type="dxa"/>
            <w:left w:w="0" w:type="dxa"/>
            <w:bottom w:w="0" w:type="dxa"/>
            <w:right w:w="0" w:type="dxa"/>
          </w:tblCellMar>
        </w:tblPrEx>
        <w:trPr>
          <w:trHeight w:val="27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合计</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20663.66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总价</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41327.32</w:t>
            </w:r>
          </w:p>
        </w:tc>
      </w:tr>
    </w:tbl>
    <w:p>
      <w:pPr>
        <w:spacing w:line="360" w:lineRule="auto"/>
        <w:rPr>
          <w:rFonts w:hint="eastAsia" w:eastAsia="宋体" w:asciiTheme="minorEastAsia" w:hAnsiTheme="minorEastAsia"/>
          <w:b/>
          <w:sz w:val="24"/>
          <w:szCs w:val="24"/>
          <w:lang w:val="en-US" w:eastAsia="zh-CN"/>
        </w:rPr>
      </w:pPr>
    </w:p>
    <w:p>
      <w:pPr>
        <w:spacing w:line="360" w:lineRule="auto"/>
        <w:ind w:firstLine="240" w:firstLineChars="100"/>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三</w:t>
      </w:r>
      <w:r>
        <w:rPr>
          <w:rFonts w:hint="eastAsia" w:ascii="黑体" w:hAnsi="黑体" w:eastAsia="黑体" w:cs="黑体"/>
          <w:b w:val="0"/>
          <w:bCs/>
          <w:sz w:val="24"/>
          <w:szCs w:val="24"/>
        </w:rPr>
        <w:t xml:space="preserve">、评标方法及评标细则要求 </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资格性审查</w:t>
            </w:r>
          </w:p>
          <w:p>
            <w:pPr>
              <w:spacing w:line="240" w:lineRule="auto"/>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1.投标人是法人的审查会计师事务所出具的202</w:t>
            </w:r>
            <w:r>
              <w:rPr>
                <w:rFonts w:hint="eastAsia" w:ascii="宋体" w:hAnsi="宋体" w:eastAsia="宋体" w:cs="宋体"/>
                <w:sz w:val="21"/>
                <w:szCs w:val="21"/>
                <w:lang w:val="en-US" w:eastAsia="zh-CN"/>
              </w:rPr>
              <w:t>1</w:t>
            </w:r>
            <w:r>
              <w:rPr>
                <w:rFonts w:hint="eastAsia" w:ascii="宋体" w:hAnsi="宋体" w:eastAsia="宋体" w:cs="宋体"/>
                <w:sz w:val="21"/>
                <w:szCs w:val="21"/>
              </w:rPr>
              <w:t>年度财务审计报告。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1.提供递交投标文件截止之日前六个月内（至少一个月）的良好缴纳税收的相关凭据。（以税务机关提供的纳税凭据或银行入账单为准）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2.提供递交投标文件截止之日前六个月内（至少一个月）缴纳社会保险的凭证。（以社保机构出具的专用收据或社会保险缴纳清单为准）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经营范围符合采购需求.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tc>
        <w:tc>
          <w:tcPr>
            <w:tcW w:w="1970" w:type="dxa"/>
            <w:vMerge w:val="restart"/>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明确所投全部货物的产品品牌、型号</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主要技术参数指标（加“</w:t>
            </w:r>
            <w:r>
              <w:rPr>
                <w:rFonts w:hint="eastAsia" w:ascii="宋体" w:hAnsi="宋体" w:eastAsia="宋体" w:cs="宋体"/>
                <w:sz w:val="21"/>
                <w:szCs w:val="21"/>
                <w:lang w:bidi="lo-LA"/>
              </w:rPr>
              <w:t>*</w:t>
            </w:r>
            <w:r>
              <w:rPr>
                <w:rFonts w:hint="eastAsia" w:ascii="宋体" w:hAnsi="宋体" w:eastAsia="宋体" w:cs="宋体"/>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东胜区罕台镇鄂尔多斯市第四人民医院行政楼一楼101室 总务科 </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填写报名登记表后视为本次投标报名成功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地点：东胜区罕台镇鄂尔多斯市第四人民医院二楼会议室</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三、响应文件</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四、开标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我院总务科以书面形式向成交供应商发出中标书，中标通知书是合同的重要组成部分，对采购人和成交供应商具有同等法律效力。</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1"/>
        </w:numPr>
        <w:wordWrap w:val="0"/>
        <w:autoSpaceDE/>
        <w:autoSpaceDN/>
        <w:bidi w:val="0"/>
        <w:snapToGrid/>
        <w:spacing w:line="360" w:lineRule="auto"/>
        <w:ind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质疑电话</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电话：15149684760 </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六、投标失信行为黑名单制度</w:t>
      </w:r>
    </w:p>
    <w:p>
      <w:pPr>
        <w:pageBreakBefore w:val="0"/>
        <w:numPr>
          <w:ilvl w:val="0"/>
          <w:numId w:val="0"/>
        </w:numPr>
        <w:wordWrap w:val="0"/>
        <w:autoSpaceDE/>
        <w:autoSpaceDN/>
        <w:bidi w:val="0"/>
        <w:snapToGrid/>
        <w:spacing w:line="360" w:lineRule="auto"/>
        <w:ind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（四）中标后10个工作日内无正当理由未签订采购合同或拒绝签订采购合同；如有正当理由的，需提供经管理科室负责人及其分管院长签字的情况说明交招标办备案后解除。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ab/>
      </w: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Pr>
        <w:pageBreakBefore w:val="0"/>
        <w:wordWrap w:val="0"/>
        <w:autoSpaceDE/>
        <w:autoSpaceDN/>
        <w:bidi w:val="0"/>
        <w:snapToGrid/>
        <w:spacing w:before="0" w:after="0" w:line="360" w:lineRule="auto"/>
        <w:outlineLvl w:val="9"/>
        <w:rPr>
          <w:rFonts w:hint="eastAsia" w:ascii="宋体" w:hAnsi="宋体" w:eastAsia="宋体" w:cs="宋体"/>
          <w:color w:val="000000"/>
        </w:rPr>
      </w:pPr>
      <w:bookmarkStart w:id="0" w:name="_Toc422403383"/>
    </w:p>
    <w:p>
      <w:pPr>
        <w:pageBreakBefore w:val="0"/>
        <w:wordWrap w:val="0"/>
        <w:autoSpaceDE/>
        <w:autoSpaceDN/>
        <w:bidi w:val="0"/>
        <w:snapToGrid/>
        <w:spacing w:before="0" w:after="0" w:line="360" w:lineRule="auto"/>
        <w:outlineLvl w:val="9"/>
        <w:rPr>
          <w:rFonts w:hint="eastAsia" w:ascii="宋体" w:hAnsi="宋体" w:eastAsia="宋体" w:cs="宋体"/>
          <w:color w:val="000000"/>
        </w:rPr>
      </w:pPr>
    </w:p>
    <w:p>
      <w:pPr>
        <w:pageBreakBefore w:val="0"/>
        <w:wordWrap w:val="0"/>
        <w:autoSpaceDE/>
        <w:autoSpaceDN/>
        <w:bidi w:val="0"/>
        <w:snapToGrid/>
        <w:spacing w:before="0" w:after="0" w:line="360" w:lineRule="auto"/>
        <w:outlineLvl w:val="9"/>
        <w:rPr>
          <w:rFonts w:hint="eastAsia" w:ascii="宋体" w:hAnsi="宋体" w:eastAsia="宋体" w:cs="宋体"/>
          <w:color w:val="000000"/>
        </w:rPr>
      </w:pPr>
    </w:p>
    <w:p>
      <w:pPr>
        <w:pStyle w:val="3"/>
        <w:rPr>
          <w:rFonts w:hint="eastAsia"/>
          <w:color w:val="000000"/>
        </w:rPr>
      </w:pPr>
    </w:p>
    <w:p/>
    <w:p/>
    <w:p/>
    <w:p/>
    <w:p>
      <w:pPr>
        <w:pStyle w:val="3"/>
        <w:rPr>
          <w:color w:val="000000"/>
        </w:rPr>
      </w:pPr>
      <w:r>
        <w:rPr>
          <w:rFonts w:hint="eastAsia"/>
          <w:color w:val="000000"/>
        </w:rPr>
        <w:t>（封面）</w:t>
      </w:r>
      <w:bookmarkEnd w:id="0"/>
    </w:p>
    <w:p>
      <w:pPr>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w:t>
      </w:r>
      <w:r>
        <w:rPr>
          <w:rFonts w:hint="eastAsia" w:ascii="黑体" w:hAnsi="黑体" w:eastAsia="黑体" w:cs="黑体"/>
          <w:b/>
          <w:color w:val="000000"/>
          <w:sz w:val="36"/>
          <w:szCs w:val="36"/>
          <w:lang w:eastAsia="zh-CN"/>
        </w:rPr>
        <w:t>第四人民</w:t>
      </w:r>
      <w:r>
        <w:rPr>
          <w:rFonts w:hint="eastAsia" w:ascii="黑体" w:hAnsi="黑体" w:eastAsia="黑体" w:cs="黑体"/>
          <w:b/>
          <w:color w:val="000000"/>
          <w:sz w:val="36"/>
          <w:szCs w:val="36"/>
        </w:rPr>
        <w:t>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hint="eastAsia" w:ascii="黑体" w:hAnsi="黑体" w:eastAsia="黑体" w:cs="黑体"/>
          <w:b/>
          <w:color w:val="000000"/>
          <w:sz w:val="44"/>
          <w:szCs w:val="44"/>
        </w:rPr>
      </w:pPr>
    </w:p>
    <w:p>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名称</w:t>
      </w:r>
      <w:r>
        <w:rPr>
          <w:rFonts w:hint="eastAsia" w:ascii="黑体" w:hAnsi="黑体" w:eastAsia="黑体" w:cs="黑体"/>
          <w:b/>
          <w:color w:val="000000"/>
          <w:sz w:val="72"/>
          <w:szCs w:val="72"/>
          <w:lang w:val="en-US" w:eastAsia="zh-CN"/>
        </w:rPr>
        <w:t>）</w:t>
      </w:r>
    </w:p>
    <w:p>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pPr>
        <w:ind w:firstLine="400"/>
        <w:rPr>
          <w:rFonts w:hint="eastAsia"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pPr>
        <w:numPr>
          <w:ilvl w:val="0"/>
          <w:numId w:val="0"/>
        </w:numPr>
        <w:spacing w:line="360" w:lineRule="auto"/>
        <w:ind w:left="0" w:right="0" w:firstLine="0"/>
        <w:jc w:val="both"/>
        <w:rPr>
          <w:rFonts w:ascii="黑体" w:hAnsi="黑体" w:eastAsia="黑体" w:cs="黑体"/>
          <w:b w:val="0"/>
          <w:color w:val="000000"/>
          <w:sz w:val="32"/>
          <w:szCs w:val="32"/>
        </w:rPr>
      </w:pP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致：鄂尔多斯市第四人民医院</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tc>
        <w:tc>
          <w:tcPr>
            <w:tcW w:w="2018" w:type="dxa"/>
            <w:vMerge w:val="continue"/>
            <w:vAlign w:val="center"/>
          </w:tcPr>
          <w:p/>
        </w:tc>
      </w:tr>
    </w:tbl>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pPr>
        <w:spacing w:line="360" w:lineRule="auto"/>
        <w:ind w:firstLine="600"/>
        <w:rPr>
          <w:rFonts w:hint="eastAsia" w:ascii="宋体" w:hAnsi="宋体" w:eastAsia="宋体" w:cs="宋体"/>
          <w:b w:val="0"/>
          <w:color w:val="000000"/>
          <w:sz w:val="24"/>
          <w:szCs w:val="24"/>
          <w:lang w:val="en-US" w:eastAsia="zh-CN" w:bidi="ar-SA"/>
        </w:rPr>
      </w:pPr>
    </w:p>
    <w:p>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pPr>
        <w:spacing w:line="360" w:lineRule="auto"/>
        <w:jc w:val="center"/>
        <w:rPr>
          <w:rFonts w:hint="eastAsia" w:ascii="宋体" w:hAnsi="宋体" w:eastAsia="宋体"/>
          <w:color w:val="000000"/>
          <w:sz w:val="24"/>
          <w:szCs w:val="24"/>
        </w:rPr>
      </w:pPr>
    </w:p>
    <w:tbl>
      <w:tblPr>
        <w:tblStyle w:val="7"/>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bl>
    <w:p/>
    <w:p>
      <w:pPr>
        <w:rPr>
          <w:rFonts w:ascii="宋体" w:hAnsi="宋体" w:eastAsia="宋体"/>
          <w:sz w:val="24"/>
          <w:szCs w:val="24"/>
          <w:lang w:val="zh-CN"/>
        </w:rPr>
      </w:pPr>
      <w:r>
        <w:br w:type="page"/>
      </w:r>
    </w:p>
    <w:p>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鄂尔多斯市第四人民医院：</w:t>
      </w:r>
    </w:p>
    <w:p>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Y6wcDWAAAACQEAAA8AAAAAAAAAAQAg&#10;AAAAIgAAAGRycy9kb3ducmV2LnhtbFBLAQIUABQAAAAIAIdO4kALsd2QSQIAAIAEAAAOAAAAAAAA&#10;AAEAIAAAACUBAABkcnMvZTJvRG9jLnhtbFBLBQYAAAAABgAGAFkBAADg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1wg5r1gAAAAgBAAAPAAAAAAAAAAEA&#10;IAAAACIAAABkcnMvZG93bnJldi54bWxQSwECFAAUAAAACACHTuJA0aqn7koCAACABAAADgAAAAAA&#10;AAABACAAAAAlAQAAZHJzL2Uyb0RvYy54bWxQSwUGAAAAAAYABgBZAQAA4QU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R7yjNcAAAAJAQAADwAAAAAAAAAB&#10;ACAAAAAiAAAAZHJzL2Rvd25yZXYueG1sUEsBAhQAFAAAAAgAh07iQPa7IxJKAgAAgAQAAA4AAAAA&#10;AAAAAQAgAAAAJgEAAGRycy9lMm9Eb2MueG1sUEsFBgAAAAAGAAYAWQEAAOIF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WcmAnVAAAACAEAAA8AAAAAAAAAAQAg&#10;AAAAIgAAAGRycy9kb3ducmV2LnhtbFBLAQIUABQAAAAIAIdO4kDRhkWMSgIAAIAEAAAOAAAAAAAA&#10;AAEAIAAAACQBAABkcnMvZTJvRG9jLnhtbFBLBQYAAAAABgAGAFkBAADg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十六、产品彩页</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02C273F"/>
    <w:rsid w:val="012D6373"/>
    <w:rsid w:val="047D0B3B"/>
    <w:rsid w:val="0B9423D6"/>
    <w:rsid w:val="155067EC"/>
    <w:rsid w:val="19BD2CB7"/>
    <w:rsid w:val="23507ADC"/>
    <w:rsid w:val="2A700BE0"/>
    <w:rsid w:val="2FC378C6"/>
    <w:rsid w:val="320A15DF"/>
    <w:rsid w:val="33B731B1"/>
    <w:rsid w:val="36BD1418"/>
    <w:rsid w:val="37FC75FC"/>
    <w:rsid w:val="38A87722"/>
    <w:rsid w:val="52025FEF"/>
    <w:rsid w:val="59074FC9"/>
    <w:rsid w:val="5BAD6B81"/>
    <w:rsid w:val="5E2315E5"/>
    <w:rsid w:val="5EAA6F61"/>
    <w:rsid w:val="60CD2908"/>
    <w:rsid w:val="6A7F6E1A"/>
    <w:rsid w:val="6E761749"/>
    <w:rsid w:val="6EB16FD5"/>
    <w:rsid w:val="6F5104C0"/>
    <w:rsid w:val="719B7B32"/>
    <w:rsid w:val="72172C27"/>
    <w:rsid w:val="7B2874FA"/>
    <w:rsid w:val="7EDC4056"/>
    <w:rsid w:val="7F0D164B"/>
    <w:rsid w:val="7F112C0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link w:val="12"/>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9">
    <w:name w:val="Default Paragraph Font"/>
    <w:semiHidden/>
    <w:qFormat/>
    <w:uiPriority w:val="2"/>
  </w:style>
  <w:style w:type="table" w:default="1" w:styleId="7">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8">
    <w:name w:val="Table Grid"/>
    <w:basedOn w:val="7"/>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26"/>
    <w:pPr>
      <w:ind w:firstLine="200"/>
    </w:pPr>
    <w:rPr>
      <w:rFonts w:ascii="Times New Roman" w:hAnsi="Times New Roman" w:eastAsia="宋体" w:cs="Times New Roman"/>
      <w:sz w:val="28"/>
      <w:szCs w:val="28"/>
    </w:rPr>
  </w:style>
  <w:style w:type="character" w:customStyle="1" w:styleId="11">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2">
    <w:name w:val="标题 1 Char"/>
    <w:link w:val="2"/>
    <w:uiPriority w:val="7"/>
    <w:rPr>
      <w:b/>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0</Words>
  <Characters>0</Characters>
  <Lines>0</Lines>
  <Paragraphs>0</Paragraphs>
  <TotalTime>11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李娜</cp:lastModifiedBy>
  <dcterms:modified xsi:type="dcterms:W3CDTF">2022-05-30T03:04:04Z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E07319F752954781938DC080064916C2</vt:lpwstr>
  </property>
</Properties>
</file>