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default"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无创睡眠检测系统配件</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2022年    月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jc w:val="left"/>
        <w:rPr>
          <w:rFonts w:hint="eastAsia" w:ascii="黑体" w:hAnsi="黑体" w:eastAsia="黑体" w:cs="黑体"/>
          <w:bCs/>
          <w:kern w:val="44"/>
          <w:sz w:val="24"/>
          <w:szCs w:val="24"/>
          <w:lang w:val="zh-CN"/>
        </w:rPr>
      </w:pPr>
      <w:r>
        <w:rPr>
          <w:rFonts w:hint="eastAsia" w:ascii="黑体" w:hAnsi="黑体" w:eastAsia="黑体" w:cs="黑体"/>
          <w:bCs/>
          <w:kern w:val="44"/>
          <w:sz w:val="24"/>
          <w:szCs w:val="24"/>
          <w:lang w:val="zh-CN"/>
        </w:rPr>
        <w:t>一.主要商务要求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428"/>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4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无创睡眠</w:t>
            </w:r>
            <w:r>
              <w:rPr>
                <w:rFonts w:hint="eastAsia" w:asciiTheme="minorEastAsia" w:hAnsiTheme="minorEastAsia" w:cstheme="minorEastAsia"/>
                <w:sz w:val="21"/>
                <w:szCs w:val="21"/>
                <w:lang w:val="en-US" w:eastAsia="zh-CN"/>
              </w:rPr>
              <w:t>检测</w:t>
            </w:r>
            <w:r>
              <w:rPr>
                <w:rFonts w:hint="eastAsia" w:asciiTheme="minorEastAsia" w:hAnsiTheme="minorEastAsia" w:eastAsiaTheme="minorEastAsia" w:cstheme="minorEastAsia"/>
                <w:sz w:val="21"/>
                <w:szCs w:val="21"/>
                <w:lang w:val="en-US" w:eastAsia="zh-CN"/>
              </w:rPr>
              <w:t>系统配件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预算金额</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840" w:firstLineChars="4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21500元/套，总计86000元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交货使用时间</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合同签订后20个工作日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630" w:firstLineChars="3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单位</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1470" w:firstLineChars="7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付款方式</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产品验收合格正常使用后，支付总货款的90%；质保金为总金额的10%，待质保期到期后若没有发生质量等问题一次性付清。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质保期</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采购清单</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采购鼠笼、饮水瓶、传感器、连接线共四套。详细参数见附件1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459"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必须保证所供配件和现有无创睡眠</w:t>
            </w:r>
            <w:r>
              <w:rPr>
                <w:rFonts w:hint="eastAsia" w:asciiTheme="minorEastAsia" w:hAnsiTheme="minorEastAsia" w:cstheme="minorEastAsia"/>
                <w:sz w:val="21"/>
                <w:szCs w:val="21"/>
                <w:lang w:val="en-US" w:eastAsia="zh-CN"/>
              </w:rPr>
              <w:t>检测</w:t>
            </w:r>
            <w:r>
              <w:rPr>
                <w:rFonts w:hint="eastAsia" w:asciiTheme="minorEastAsia" w:hAnsiTheme="minorEastAsia" w:eastAsiaTheme="minorEastAsia" w:cstheme="minorEastAsia"/>
                <w:sz w:val="21"/>
                <w:szCs w:val="21"/>
                <w:lang w:val="en-US" w:eastAsia="zh-CN"/>
              </w:rPr>
              <w:t>系统（型号：</w:t>
            </w:r>
            <w:r>
              <w:rPr>
                <w:rFonts w:hint="eastAsia" w:asciiTheme="minorEastAsia" w:hAnsiTheme="minorEastAsia" w:cstheme="minorEastAsia"/>
                <w:sz w:val="21"/>
                <w:szCs w:val="21"/>
                <w:lang w:val="en-US" w:eastAsia="zh-CN"/>
              </w:rPr>
              <w:t>P</w:t>
            </w:r>
            <w:r>
              <w:rPr>
                <w:rFonts w:hint="eastAsia" w:asciiTheme="minorEastAsia" w:hAnsiTheme="minorEastAsia" w:eastAsiaTheme="minorEastAsia" w:cstheme="minorEastAsia"/>
                <w:sz w:val="21"/>
                <w:szCs w:val="21"/>
                <w:lang w:val="en-US" w:eastAsia="zh-CN"/>
              </w:rPr>
              <w:t>iezo Sleep）相匹配，可正常识别，保障系统能正常运行，实验数据准确、可靠。</w:t>
            </w:r>
          </w:p>
        </w:tc>
      </w:tr>
    </w:tbl>
    <w:p>
      <w:pPr>
        <w:jc w:val="left"/>
        <w:rPr>
          <w:rFonts w:hint="eastAsia" w:ascii="宋体" w:hAnsi="宋体" w:eastAsia="宋体"/>
          <w:bCs/>
          <w:kern w:val="44"/>
          <w:sz w:val="24"/>
          <w:szCs w:val="24"/>
          <w:lang w:val="en-US" w:eastAsia="zh-CN"/>
        </w:rPr>
      </w:pPr>
    </w:p>
    <w:p>
      <w:pPr>
        <w:jc w:val="left"/>
        <w:rPr>
          <w:rFonts w:hint="eastAsia" w:ascii="黑体" w:hAnsi="黑体" w:eastAsia="黑体" w:cs="黑体"/>
          <w:bCs/>
          <w:kern w:val="44"/>
          <w:sz w:val="24"/>
          <w:szCs w:val="24"/>
          <w:lang w:val="en-US" w:eastAsia="zh-CN"/>
        </w:rPr>
      </w:pPr>
      <w:r>
        <w:rPr>
          <w:rFonts w:hint="eastAsia" w:ascii="黑体" w:hAnsi="黑体" w:eastAsia="黑体" w:cs="黑体"/>
          <w:bCs/>
          <w:kern w:val="44"/>
          <w:sz w:val="24"/>
          <w:szCs w:val="24"/>
          <w:lang w:val="en-US" w:eastAsia="zh-CN"/>
        </w:rPr>
        <w:t>二、项目详细信息</w:t>
      </w:r>
    </w:p>
    <w:p>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详见附件1</w:t>
      </w:r>
    </w:p>
    <w:p>
      <w:pPr>
        <w:spacing w:line="360" w:lineRule="auto"/>
        <w:ind w:firstLine="240" w:firstLineChars="100"/>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三</w:t>
      </w:r>
      <w:r>
        <w:rPr>
          <w:rFonts w:hint="eastAsia" w:ascii="黑体" w:hAnsi="黑体" w:eastAsia="黑体" w:cs="黑体"/>
          <w:b w:val="0"/>
          <w:bCs/>
          <w:sz w:val="24"/>
          <w:szCs w:val="24"/>
        </w:rPr>
        <w:t xml:space="preserve">、评标方法及评标细则要求 </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1.投标人是法人的审查会计师事务所出具的202</w:t>
            </w:r>
            <w:r>
              <w:rPr>
                <w:rFonts w:hint="eastAsia" w:ascii="宋体" w:hAnsi="宋体" w:eastAsia="宋体" w:cs="宋体"/>
                <w:sz w:val="21"/>
                <w:szCs w:val="21"/>
                <w:lang w:val="en-US" w:eastAsia="zh-CN"/>
              </w:rPr>
              <w:t>1</w:t>
            </w:r>
            <w:r>
              <w:rPr>
                <w:rFonts w:hint="eastAsia" w:ascii="宋体" w:hAnsi="宋体" w:eastAsia="宋体" w:cs="宋体"/>
                <w:sz w:val="21"/>
                <w:szCs w:val="21"/>
              </w:rPr>
              <w:t>年度财务审计报告。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1.提供递交投标文件截止之日前六个月内（至少一个月）的良好缴纳税收的相关凭据。（以税务机关提供的纳税凭据或银行入账单为准）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2.提供递交投标文件截止之日前六个月内（至少一个月）缴纳社会保险的凭证。（以社保机构出具的专用收据或社会保险缴纳清单为准）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经营范围符合采购需求.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tc>
        <w:tc>
          <w:tcPr>
            <w:tcW w:w="1970"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明确所投全部货物的产品品牌、型号</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4"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主要技术参数指标（加“</w:t>
            </w:r>
            <w:r>
              <w:rPr>
                <w:rFonts w:hint="eastAsia" w:ascii="宋体" w:hAnsi="宋体" w:eastAsia="宋体" w:cs="宋体"/>
                <w:sz w:val="21"/>
                <w:szCs w:val="21"/>
                <w:lang w:bidi="lo-LA"/>
              </w:rPr>
              <w:t>*</w:t>
            </w:r>
            <w:r>
              <w:rPr>
                <w:rFonts w:hint="eastAsia" w:ascii="宋体" w:hAnsi="宋体" w:eastAsia="宋体" w:cs="宋体"/>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1"/>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ab/>
      </w: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Pr>
        <w:pageBreakBefore w:val="0"/>
        <w:wordWrap w:val="0"/>
        <w:autoSpaceDE/>
        <w:autoSpaceDN/>
        <w:bidi w:val="0"/>
        <w:snapToGrid/>
        <w:spacing w:before="0" w:after="0" w:line="360" w:lineRule="auto"/>
        <w:outlineLvl w:val="9"/>
        <w:rPr>
          <w:rFonts w:hint="eastAsia" w:ascii="宋体" w:hAnsi="宋体" w:eastAsia="宋体" w:cs="宋体"/>
          <w:color w:val="000000"/>
        </w:rPr>
      </w:pPr>
      <w:bookmarkStart w:id="0" w:name="_Toc422403383"/>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Style w:val="2"/>
        <w:rPr>
          <w:rFonts w:hint="eastAsia"/>
          <w:color w:val="000000"/>
        </w:rPr>
      </w:pPr>
    </w:p>
    <w:p/>
    <w:p/>
    <w:p/>
    <w:p/>
    <w:p>
      <w:pPr>
        <w:pStyle w:val="2"/>
        <w:rPr>
          <w:color w:val="000000"/>
        </w:rPr>
      </w:pPr>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pPr>
        <w:numPr>
          <w:ilvl w:val="0"/>
          <w:numId w:val="0"/>
        </w:numPr>
        <w:spacing w:line="360" w:lineRule="auto"/>
        <w:ind w:left="0" w:right="0" w:firstLine="0"/>
        <w:jc w:val="both"/>
        <w:rPr>
          <w:rFonts w:ascii="黑体" w:hAnsi="黑体" w:eastAsia="黑体" w:cs="黑体"/>
          <w:b w:val="0"/>
          <w:color w:val="000000"/>
          <w:sz w:val="32"/>
          <w:szCs w:val="32"/>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numId w:val="0"/>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一、开标一览表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rPr>
          <w:rFonts w:hint="default" w:ascii="宋体" w:hAnsi="宋体" w:eastAsia="宋体"/>
          <w:sz w:val="24"/>
          <w:szCs w:val="24"/>
          <w:lang w:val="en-US" w:eastAsia="zh-CN"/>
        </w:rPr>
      </w:pPr>
    </w:p>
    <w:p>
      <w:pPr>
        <w:pStyle w:val="2"/>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分项报价</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pStyle w:val="2"/>
        <w:rPr>
          <w:rFonts w:ascii="宋体" w:hAnsi="宋体" w:eastAsia="宋体"/>
          <w:sz w:val="24"/>
          <w:szCs w:val="24"/>
          <w:lang w:val="zh-CN"/>
        </w:rPr>
      </w:pPr>
    </w:p>
    <w:p>
      <w:pPr>
        <w:rPr>
          <w:rFonts w:ascii="宋体" w:hAnsi="宋体" w:eastAsia="宋体"/>
          <w:sz w:val="24"/>
          <w:szCs w:val="24"/>
          <w:lang w:val="zh-CN"/>
        </w:rPr>
      </w:pPr>
    </w:p>
    <w:p>
      <w:pPr>
        <w:pStyle w:val="2"/>
        <w:rPr>
          <w:rFonts w:ascii="宋体" w:hAnsi="宋体" w:eastAsia="宋体"/>
          <w:sz w:val="24"/>
          <w:szCs w:val="24"/>
          <w:lang w:val="zh-CN"/>
        </w:rPr>
      </w:pPr>
    </w:p>
    <w:p>
      <w:pPr>
        <w:rPr>
          <w:rFonts w:ascii="宋体" w:hAnsi="宋体" w:eastAsia="宋体"/>
          <w:sz w:val="24"/>
          <w:szCs w:val="24"/>
          <w:lang w:val="zh-CN"/>
        </w:rPr>
      </w:pPr>
    </w:p>
    <w:p>
      <w:pPr>
        <w:pStyle w:val="2"/>
        <w:rPr>
          <w:rFonts w:ascii="宋体" w:hAnsi="宋体" w:eastAsia="宋体"/>
          <w:sz w:val="24"/>
          <w:szCs w:val="24"/>
          <w:lang w:val="zh-CN"/>
        </w:rPr>
      </w:pPr>
    </w:p>
    <w:p>
      <w:pPr>
        <w:rPr>
          <w:rFonts w:ascii="宋体" w:hAnsi="宋体" w:eastAsia="宋体"/>
          <w:sz w:val="24"/>
          <w:szCs w:val="24"/>
          <w:lang w:val="zh-CN"/>
        </w:rPr>
      </w:pPr>
    </w:p>
    <w:p>
      <w:pPr>
        <w:pStyle w:val="2"/>
        <w:rPr>
          <w:rFonts w:ascii="宋体" w:hAnsi="宋体" w:eastAsia="宋体"/>
          <w:sz w:val="24"/>
          <w:szCs w:val="24"/>
          <w:lang w:val="zh-CN"/>
        </w:rPr>
      </w:pPr>
    </w:p>
    <w:p>
      <w:pPr>
        <w:rPr>
          <w:lang w:val="zh-CN"/>
        </w:rPr>
      </w:pPr>
    </w:p>
    <w:p>
      <w:pPr>
        <w:rPr>
          <w:rFonts w:ascii="宋体" w:hAnsi="宋体" w:eastAsia="宋体"/>
          <w:sz w:val="24"/>
          <w:szCs w:val="24"/>
          <w:lang w:val="zh-CN"/>
        </w:rPr>
      </w:pPr>
    </w:p>
    <w:p>
      <w:pPr>
        <w:spacing w:line="360" w:lineRule="auto"/>
        <w:jc w:val="left"/>
        <w:rPr>
          <w:rFonts w:hint="eastAsia" w:ascii="宋体" w:hAnsi="宋体" w:eastAsia="宋体"/>
          <w:b/>
          <w:color w:val="000000"/>
          <w:sz w:val="24"/>
          <w:szCs w:val="24"/>
        </w:rPr>
      </w:pP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lang w:eastAsia="zh-CN"/>
        </w:rPr>
        <w:t>报名产品</w:t>
      </w:r>
      <w:r>
        <w:rPr>
          <w:rFonts w:hint="eastAsia" w:ascii="黑体" w:hAnsi="黑体" w:eastAsia="黑体" w:cs="黑体"/>
          <w:b w:val="0"/>
          <w:bCs/>
          <w:color w:val="000000"/>
          <w:sz w:val="32"/>
          <w:szCs w:val="32"/>
        </w:rPr>
        <w:t>情况介绍表</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7"/>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bl>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r>
        <w:br w:type="page"/>
      </w:r>
    </w:p>
    <w:p>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三、</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四、投标人基本情况表</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ageBreakBefore w:val="0"/>
        <w:numPr>
          <w:ilvl w:val="0"/>
          <w:numId w:val="3"/>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提供具有良好的商业信誉和健全的财务会计制度的证明材料</w:t>
      </w: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 </w:t>
      </w:r>
    </w:p>
    <w:p>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具有履行合同所必须的设备和专业技术能力的声明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right="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九、业绩证明材料</w:t>
      </w: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p>
    <w:p>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pStyle w:val="2"/>
        <w:rPr>
          <w:rFonts w:hint="eastAsia"/>
          <w:lang w:val="en-US" w:eastAsia="zh-CN"/>
        </w:rPr>
      </w:pPr>
      <w:bookmarkStart w:id="1" w:name="_GoBack"/>
      <w:bookmarkEnd w:id="1"/>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十五、产品彩页</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十六、其他</w:t>
      </w:r>
    </w:p>
    <w:p>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A0860"/>
    <w:multiLevelType w:val="singleLevel"/>
    <w:tmpl w:val="BA4A0860"/>
    <w:lvl w:ilvl="0" w:tentative="0">
      <w:start w:val="5"/>
      <w:numFmt w:val="chineseCounting"/>
      <w:suff w:val="nothing"/>
      <w:lvlText w:val="%1、"/>
      <w:lvlJc w:val="left"/>
      <w:rPr>
        <w:rFonts w:hint="eastAsia"/>
      </w:rPr>
    </w:lvl>
  </w:abstractNum>
  <w:abstractNum w:abstractNumId="1">
    <w:nsid w:val="25FBF796"/>
    <w:multiLevelType w:val="singleLevel"/>
    <w:tmpl w:val="25FBF796"/>
    <w:lvl w:ilvl="0" w:tentative="0">
      <w:start w:val="10"/>
      <w:numFmt w:val="chineseCounting"/>
      <w:suff w:val="nothing"/>
      <w:lvlText w:val="%1、"/>
      <w:lvlJc w:val="left"/>
      <w:rPr>
        <w:rFonts w:hint="eastAsia"/>
      </w:rPr>
    </w:lvl>
  </w:abstractNum>
  <w:abstractNum w:abstractNumId="2">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3">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GZmNDdkZjIyNmY0MjQyMTgwY2UwMjA0NzA4NGE3YTkifQ=="/>
  </w:docVars>
  <w:rsids>
    <w:rsidRoot w:val="00000000"/>
    <w:rsid w:val="002C273F"/>
    <w:rsid w:val="012D6373"/>
    <w:rsid w:val="047D0B3B"/>
    <w:rsid w:val="06263A4A"/>
    <w:rsid w:val="0B9423D6"/>
    <w:rsid w:val="151F40B9"/>
    <w:rsid w:val="155067EC"/>
    <w:rsid w:val="19BD2CB7"/>
    <w:rsid w:val="23507ADC"/>
    <w:rsid w:val="2A700BE0"/>
    <w:rsid w:val="2D027B93"/>
    <w:rsid w:val="2FC378C6"/>
    <w:rsid w:val="320A15DF"/>
    <w:rsid w:val="33A33EAB"/>
    <w:rsid w:val="33B731B1"/>
    <w:rsid w:val="36BD1418"/>
    <w:rsid w:val="37FC75FC"/>
    <w:rsid w:val="38A87722"/>
    <w:rsid w:val="3F7815D1"/>
    <w:rsid w:val="52025FEF"/>
    <w:rsid w:val="59074FC9"/>
    <w:rsid w:val="5BAD6B81"/>
    <w:rsid w:val="5E2315E5"/>
    <w:rsid w:val="5EAA6F61"/>
    <w:rsid w:val="60CD2908"/>
    <w:rsid w:val="6A7F6E1A"/>
    <w:rsid w:val="6E761749"/>
    <w:rsid w:val="6EB16FD5"/>
    <w:rsid w:val="6F5104C0"/>
    <w:rsid w:val="719B7B32"/>
    <w:rsid w:val="7200308E"/>
    <w:rsid w:val="72172C27"/>
    <w:rsid w:val="7B2874FA"/>
    <w:rsid w:val="7B5E69F3"/>
    <w:rsid w:val="7EDC4056"/>
    <w:rsid w:val="7F0D164B"/>
    <w:rsid w:val="7F112C0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link w:val="12"/>
    <w:qFormat/>
    <w:uiPriority w:val="7"/>
    <w:pPr>
      <w:spacing w:before="340" w:after="330" w:line="578" w:lineRule="auto"/>
      <w:outlineLvl w:val="0"/>
    </w:pPr>
    <w:rPr>
      <w:b/>
      <w:sz w:val="44"/>
      <w:szCs w:val="44"/>
    </w:rPr>
  </w:style>
  <w:style w:type="paragraph" w:styleId="2">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3"/>
    <w:qFormat/>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4733</Words>
  <Characters>4842</Characters>
  <Lines>0</Lines>
  <Paragraphs>0</Paragraphs>
  <TotalTime>1</TotalTime>
  <ScaleCrop>false</ScaleCrop>
  <LinksUpToDate>false</LinksUpToDate>
  <CharactersWithSpaces>5086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李娜</cp:lastModifiedBy>
  <dcterms:modified xsi:type="dcterms:W3CDTF">2022-10-21T03:55:59Z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8E4B93941B154DCB963BED922AFAE1DA</vt:lpwstr>
  </property>
</Properties>
</file>